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6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Gatling John A.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1501 MCKINNEY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Hess Midstream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HESM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" w:right="620" w:hanging="8"/>
        <w:spacing w:after="0" w:line="238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77010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151765</wp:posOffset>
            </wp:positionV>
            <wp:extent cx="6967855" cy="1518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03/08/2021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3,661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51,906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03/08/2021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55,969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4,063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A.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3,661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A.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11,161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-2510155</wp:posOffset>
            </wp:positionV>
            <wp:extent cx="7033895" cy="2552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shares acquired upon settlement of phantom shares granted under Hess Midstream's 2017 Long 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992 shares acquired pursuant to a dividend reinvestment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solely to satisfy tax withholding upon settlement of phantom shares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2018 phantom shares vested on March 8, 2021 and have no expiration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remaining 2019 phantom shares shall vest on March 8, 2022 and have no expiration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phantom share is the economic equivalent of one Class A Share.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shares will vest in three equal installments beginning on March 8, 2022 and have no expiration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Barry Schachter for John 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2540</wp:posOffset>
            </wp:positionV>
            <wp:extent cx="12001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Gatling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3200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02312" TargetMode="External"/><Relationship Id="rId14" Type="http://schemas.openxmlformats.org/officeDocument/2006/relationships/hyperlink" Target="http://www.sec.gov/cgi-bin/browse-edgar?action=getcompany&amp;CIK=0001789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2021-03-09T20:31:55Z</dcterms:created>
  <dcterms:modified xsi:type="dcterms:W3CDTF">2021-03-09T20:31:55Z</dcterms:modified>
</cp:coreProperties>
</file>