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HESS MIDSTREAM LP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1501 McKinney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77010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27, 2019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Ms. Karina Dorin, Staff Attorney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Hess Midstream LP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333-235650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461 of Regulation C of the General Rules and Regulations promulgated under the Securities Act of 1933, as amended,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Hess Midstream LP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hereby respectfully requests that the effective date of the above-referenced Registration Statement be accelerated so that it will become effective at 3:00 P.M., Eastern Standard Time, on December 31, 2019, or as soon as practicable thereafter, unless the Registrant notifies you otherwise prior to such time.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direct any questions regarding this correspondence to our counsel, Thomas G. Brandt of Latham &amp; Watkins LLP, at (713) 546-7486.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Hess Midstream LP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Hess Midstream GP LP, its general partner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Hess Midstream GP LLC, its general partner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Jonathan C. 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14605</wp:posOffset>
            </wp:positionV>
            <wp:extent cx="25628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Jonathan C. Stein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 Thomas G. Brandt, Latham &amp; Watkins LLP</w:t>
      </w:r>
    </w:p>
    <w:sectPr>
      <w:pgSz w:w="11900" w:h="16838" w:orient="portrait"/>
      <w:cols w:equalWidth="0" w:num="1">
        <w:col w:w="10960"/>
      </w:cols>
      <w:pgMar w:left="440" w:top="229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2020-10-08T00:11:40Z</dcterms:created>
  <dcterms:modified xsi:type="dcterms:W3CDTF">2020-10-08T00:11:40Z</dcterms:modified>
</cp:coreProperties>
</file>